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D311" w14:textId="7CBE17A7" w:rsidR="00F31ED0" w:rsidRPr="00D01BB3" w:rsidRDefault="00ED7175" w:rsidP="00ED7175">
      <w:pPr>
        <w:spacing w:before="720" w:after="0" w:line="240" w:lineRule="auto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59264" behindDoc="1" locked="0" layoutInCell="1" allowOverlap="1" wp14:anchorId="6A9D6BCF" wp14:editId="109DE45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30400" cy="2790000"/>
            <wp:effectExtent l="0" t="0" r="0" b="0"/>
            <wp:wrapTight wrapText="bothSides">
              <wp:wrapPolygon edited="0">
                <wp:start x="5264" y="443"/>
                <wp:lineTo x="3223" y="2508"/>
                <wp:lineTo x="3223" y="5458"/>
                <wp:lineTo x="1611" y="7818"/>
                <wp:lineTo x="859" y="8408"/>
                <wp:lineTo x="645" y="8998"/>
                <wp:lineTo x="645" y="11358"/>
                <wp:lineTo x="967" y="12538"/>
                <wp:lineTo x="3223" y="14898"/>
                <wp:lineTo x="3223" y="18291"/>
                <wp:lineTo x="4082" y="19618"/>
                <wp:lineTo x="5264" y="20356"/>
                <wp:lineTo x="16221" y="20356"/>
                <wp:lineTo x="17403" y="19618"/>
                <wp:lineTo x="18370" y="18143"/>
                <wp:lineTo x="18263" y="14898"/>
                <wp:lineTo x="20626" y="12538"/>
                <wp:lineTo x="20948" y="9293"/>
                <wp:lineTo x="20626" y="8408"/>
                <wp:lineTo x="19874" y="7818"/>
                <wp:lineTo x="18263" y="5458"/>
                <wp:lineTo x="18370" y="2803"/>
                <wp:lineTo x="17618" y="1770"/>
                <wp:lineTo x="16221" y="443"/>
                <wp:lineTo x="5264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30400" cy="279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1ED0" w:rsidRPr="00D01BB3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="00F31ED0" w:rsidRPr="00D01BB3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403235B8" w:rsidR="00F31ED0" w:rsidRDefault="00F31ED0" w:rsidP="00ED7175">
      <w:pPr>
        <w:spacing w:line="240" w:lineRule="auto"/>
        <w:jc w:val="center"/>
        <w:rPr>
          <w:b/>
          <w:color w:val="0B5394"/>
          <w:sz w:val="48"/>
          <w:szCs w:val="48"/>
          <w:lang w:val="cs-CZ"/>
        </w:rPr>
      </w:pPr>
      <w:r w:rsidRPr="00ED7175">
        <w:rPr>
          <w:b/>
          <w:color w:val="0B5394"/>
          <w:sz w:val="48"/>
          <w:szCs w:val="48"/>
          <w:lang w:val="cs-CZ"/>
        </w:rPr>
        <w:t>2021–2027</w:t>
      </w:r>
    </w:p>
    <w:p w14:paraId="61439A33" w14:textId="77777777" w:rsidR="00ED7175" w:rsidRPr="00ED7175" w:rsidRDefault="00ED7175" w:rsidP="00ED7175">
      <w:pPr>
        <w:spacing w:line="240" w:lineRule="auto"/>
        <w:jc w:val="center"/>
        <w:rPr>
          <w:b/>
          <w:color w:val="0B5394"/>
          <w:sz w:val="40"/>
          <w:szCs w:val="40"/>
          <w:lang w:val="cs-CZ"/>
        </w:rPr>
      </w:pPr>
    </w:p>
    <w:p w14:paraId="5EDC1CE2" w14:textId="7A868319" w:rsidR="00F31ED0" w:rsidRPr="00D01BB3" w:rsidRDefault="00B44983" w:rsidP="00ED7175">
      <w:pPr>
        <w:spacing w:before="40" w:after="0" w:line="288" w:lineRule="auto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SPECIFICKÁ</w:t>
      </w:r>
      <w:r w:rsidRPr="00D01BB3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 xml:space="preserve"> </w:t>
      </w:r>
      <w:r w:rsidR="003F42A1" w:rsidRPr="00D01BB3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PRAVIDLA PRO ŽADATELE A PŘÍJEMCE</w:t>
      </w:r>
      <w:r w:rsidR="003F42A1" w:rsidRPr="00D01BB3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ED7175" w:rsidRDefault="006E599E" w:rsidP="00ED7175">
      <w:pPr>
        <w:spacing w:before="0" w:after="0" w:line="288" w:lineRule="auto"/>
        <w:jc w:val="center"/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</w:pPr>
    </w:p>
    <w:p w14:paraId="14967F0E" w14:textId="6B95B76E" w:rsidR="007B3F0A" w:rsidRPr="00D01BB3" w:rsidRDefault="00F31ED0" w:rsidP="00ED7175">
      <w:pPr>
        <w:spacing w:before="0" w:after="0" w:line="288" w:lineRule="auto"/>
        <w:jc w:val="center"/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</w:pPr>
      <w:r w:rsidRPr="00D01BB3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 xml:space="preserve">PŘÍLOHA </w:t>
      </w:r>
      <w:r w:rsidR="009A75D5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>9</w:t>
      </w:r>
    </w:p>
    <w:p w14:paraId="5CB712E7" w14:textId="2A73B082" w:rsidR="00B44983" w:rsidRDefault="00FA24D6" w:rsidP="00ED7175">
      <w:pPr>
        <w:spacing w:before="0" w:after="0" w:line="288" w:lineRule="auto"/>
        <w:jc w:val="center"/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</w:pPr>
      <w:r w:rsidRPr="0032791D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 xml:space="preserve">Návod pro použití </w:t>
      </w:r>
      <w:r w:rsidR="008E4F7A" w:rsidRPr="0032791D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 xml:space="preserve">VYBRANÝCH </w:t>
      </w:r>
      <w:r w:rsidRPr="0032791D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>Specifických datových položek</w:t>
      </w:r>
    </w:p>
    <w:p w14:paraId="3881D8E1" w14:textId="77777777" w:rsidR="00B44983" w:rsidRPr="00ED7175" w:rsidRDefault="00B44983" w:rsidP="00ED7175">
      <w:pPr>
        <w:pStyle w:val="Zkladnodstavec"/>
        <w:jc w:val="center"/>
        <w:rPr>
          <w:rFonts w:ascii="Arial" w:hAnsi="Arial" w:cs="Arial"/>
          <w:caps/>
          <w:sz w:val="40"/>
          <w:szCs w:val="40"/>
        </w:rPr>
      </w:pPr>
    </w:p>
    <w:p w14:paraId="578606B5" w14:textId="29113CAA" w:rsidR="00B44983" w:rsidRDefault="00ED7175" w:rsidP="00ED717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110</w:t>
      </w:r>
      <w:r w:rsidR="00B44983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B44983">
        <w:rPr>
          <w:rFonts w:ascii="Arial" w:hAnsi="Arial" w:cs="Arial"/>
          <w:caps/>
          <w:sz w:val="36"/>
          <w:szCs w:val="36"/>
        </w:rPr>
        <w:t>irop -</w:t>
      </w:r>
      <w:r w:rsidR="00B44983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B44983"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="00B44983"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 w:rsidR="00B44983">
        <w:rPr>
          <w:rFonts w:ascii="Arial" w:hAnsi="Arial" w:cs="Arial"/>
          <w:caps/>
          <w:sz w:val="36"/>
          <w:szCs w:val="36"/>
        </w:rPr>
        <w:t xml:space="preserve"> -</w:t>
      </w:r>
      <w:r w:rsidR="00B44983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B44983">
        <w:rPr>
          <w:rFonts w:ascii="Arial" w:hAnsi="Arial" w:cs="Arial"/>
          <w:caps/>
          <w:sz w:val="36"/>
          <w:szCs w:val="36"/>
        </w:rPr>
        <w:t>SC 6.1</w:t>
      </w:r>
      <w:r w:rsidR="00187F3B">
        <w:rPr>
          <w:rFonts w:ascii="Arial" w:hAnsi="Arial" w:cs="Arial"/>
          <w:caps/>
          <w:sz w:val="36"/>
          <w:szCs w:val="36"/>
        </w:rPr>
        <w:t xml:space="preserve"> </w:t>
      </w:r>
      <w:r w:rsidR="00B44983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V</w:t>
      </w:r>
      <w:r w:rsidR="00B44983" w:rsidRPr="00B74ACA">
        <w:rPr>
          <w:rFonts w:ascii="Arial" w:hAnsi="Arial" w:cs="Arial"/>
          <w:caps/>
          <w:sz w:val="36"/>
          <w:szCs w:val="36"/>
        </w:rPr>
        <w:t>RR)</w:t>
      </w:r>
    </w:p>
    <w:p w14:paraId="15511D34" w14:textId="63DA0664" w:rsidR="00ED7175" w:rsidRDefault="00ED7175" w:rsidP="009A75D5">
      <w:pPr>
        <w:pStyle w:val="Zkladnodstavec"/>
        <w:spacing w:after="280"/>
        <w:jc w:val="center"/>
        <w:rPr>
          <w:rFonts w:ascii="Arial" w:hAnsi="Arial" w:cs="Arial"/>
          <w:caps/>
          <w:sz w:val="36"/>
          <w:szCs w:val="36"/>
        </w:rPr>
      </w:pPr>
    </w:p>
    <w:p w14:paraId="3C1FC074" w14:textId="77777777" w:rsidR="00B44983" w:rsidRDefault="00B44983" w:rsidP="00ED7175">
      <w:pPr>
        <w:spacing w:line="288" w:lineRule="auto"/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B44983" w:rsidSect="00216924">
          <w:head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1</w:t>
      </w:r>
    </w:p>
    <w:p w14:paraId="127C2CB5" w14:textId="48DA7605" w:rsidR="00FA24D6" w:rsidRDefault="00FA24D6" w:rsidP="00885D3E">
      <w:pPr>
        <w:spacing w:before="240" w:after="0"/>
        <w:jc w:val="center"/>
        <w:rPr>
          <w:rFonts w:eastAsia="MS Mincho" w:cs="Arial"/>
          <w:color w:val="000000"/>
          <w:sz w:val="32"/>
          <w:szCs w:val="32"/>
          <w:lang w:val="cs-CZ" w:eastAsia="ja-JP"/>
        </w:rPr>
      </w:pPr>
    </w:p>
    <w:p w14:paraId="0FB6525F" w14:textId="76CDECFF" w:rsidR="00827028" w:rsidRPr="00885D3E" w:rsidRDefault="00FA24D6" w:rsidP="00885D3E">
      <w:pPr>
        <w:spacing w:before="240" w:after="0"/>
        <w:jc w:val="left"/>
        <w:rPr>
          <w:rFonts w:eastAsia="MS Mincho" w:cs="Arial"/>
          <w:color w:val="000000"/>
          <w:sz w:val="32"/>
          <w:szCs w:val="32"/>
          <w:lang w:val="cs-CZ" w:eastAsia="ja-JP"/>
        </w:rPr>
      </w:pPr>
      <w:r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ÚVOD:</w:t>
      </w:r>
    </w:p>
    <w:p w14:paraId="6EE9AACB" w14:textId="77777777" w:rsidR="00885D3E" w:rsidRDefault="00885D3E" w:rsidP="00885D3E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B729C16" w14:textId="594D5AF9" w:rsidR="00140CBD" w:rsidRPr="00DB322D" w:rsidRDefault="008E5413">
      <w:pPr>
        <w:pStyle w:val="Default"/>
        <w:jc w:val="both"/>
        <w:rPr>
          <w:sz w:val="20"/>
          <w:szCs w:val="20"/>
        </w:rPr>
      </w:pPr>
      <w:r w:rsidRPr="00DB322D">
        <w:rPr>
          <w:rFonts w:ascii="Arial" w:hAnsi="Arial" w:cs="Arial"/>
          <w:sz w:val="20"/>
          <w:szCs w:val="20"/>
        </w:rPr>
        <w:t>V této příloze j</w:t>
      </w:r>
      <w:r w:rsidR="00787F8E" w:rsidRPr="00DB322D">
        <w:rPr>
          <w:rFonts w:ascii="Arial" w:hAnsi="Arial" w:cs="Arial"/>
          <w:sz w:val="20"/>
          <w:szCs w:val="20"/>
        </w:rPr>
        <w:t xml:space="preserve">e uveden </w:t>
      </w:r>
      <w:r w:rsidR="00140CBD" w:rsidRPr="00DB322D">
        <w:rPr>
          <w:rFonts w:ascii="Arial" w:hAnsi="Arial" w:cs="Arial"/>
          <w:sz w:val="20"/>
          <w:szCs w:val="20"/>
        </w:rPr>
        <w:t>přehled vybraných</w:t>
      </w:r>
      <w:r w:rsidR="00787F8E" w:rsidRPr="00DB322D">
        <w:rPr>
          <w:rFonts w:ascii="Arial" w:hAnsi="Arial" w:cs="Arial"/>
          <w:sz w:val="20"/>
          <w:szCs w:val="20"/>
        </w:rPr>
        <w:t xml:space="preserve"> </w:t>
      </w:r>
      <w:r w:rsidR="002801FF" w:rsidRPr="00DB322D">
        <w:rPr>
          <w:rFonts w:ascii="Arial" w:hAnsi="Arial" w:cs="Arial"/>
          <w:sz w:val="20"/>
          <w:szCs w:val="20"/>
        </w:rPr>
        <w:t>specifických datových položek (dále „SDP“)</w:t>
      </w:r>
      <w:r w:rsidR="00885D3E" w:rsidRPr="00DB322D">
        <w:rPr>
          <w:rFonts w:ascii="Arial" w:hAnsi="Arial" w:cs="Arial"/>
          <w:sz w:val="20"/>
          <w:szCs w:val="20"/>
        </w:rPr>
        <w:t xml:space="preserve"> a upřesňující informace k těmto SDP nad rámec popisu v ISKP.</w:t>
      </w:r>
      <w:r w:rsidR="00140CBD" w:rsidRPr="00DB322D">
        <w:rPr>
          <w:rFonts w:ascii="Arial" w:hAnsi="Arial" w:cs="Arial"/>
          <w:sz w:val="20"/>
          <w:szCs w:val="20"/>
        </w:rPr>
        <w:t xml:space="preserve"> </w:t>
      </w:r>
      <w:r w:rsidR="00140CBD" w:rsidRPr="00DB322D" w:rsidDel="008E4F7A">
        <w:rPr>
          <w:sz w:val="20"/>
          <w:szCs w:val="20"/>
        </w:rPr>
        <w:t xml:space="preserve"> </w:t>
      </w:r>
    </w:p>
    <w:p w14:paraId="1A88626E" w14:textId="6D0C9A30" w:rsidR="00885D3E" w:rsidRDefault="00885D3E" w:rsidP="00885D3E">
      <w:pPr>
        <w:pStyle w:val="Default"/>
        <w:jc w:val="both"/>
        <w:rPr>
          <w:rFonts w:cs="Arial"/>
          <w:szCs w:val="22"/>
        </w:rPr>
      </w:pPr>
    </w:p>
    <w:p w14:paraId="178407FE" w14:textId="7FEE77E0" w:rsidR="00885D3E" w:rsidRPr="00885D3E" w:rsidRDefault="008000E0" w:rsidP="00885D3E">
      <w:pPr>
        <w:spacing w:before="240" w:line="276" w:lineRule="auto"/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</w:pPr>
      <w:r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VYBRAN</w:t>
      </w:r>
      <w:r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é</w:t>
      </w:r>
      <w:r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 xml:space="preserve"> </w:t>
      </w:r>
      <w:proofErr w:type="gramStart"/>
      <w:r w:rsidR="00885D3E"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SDP</w:t>
      </w:r>
      <w:r w:rsid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 xml:space="preserve"> - SEZNAM</w:t>
      </w:r>
      <w:proofErr w:type="gramEnd"/>
      <w:r w:rsidR="00885D3E"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:</w:t>
      </w:r>
    </w:p>
    <w:tbl>
      <w:tblPr>
        <w:tblW w:w="908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017"/>
        <w:gridCol w:w="7063"/>
      </w:tblGrid>
      <w:tr w:rsidR="00885D3E" w:rsidRPr="00885D3E" w14:paraId="1ECB5B9F" w14:textId="77777777" w:rsidTr="00885D3E">
        <w:trPr>
          <w:trHeight w:val="511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CC2E5"/>
            <w:noWrap/>
            <w:vAlign w:val="center"/>
          </w:tcPr>
          <w:p w14:paraId="78F70A9B" w14:textId="7926380D" w:rsidR="00885D3E" w:rsidRPr="00885D3E" w:rsidRDefault="00885D3E" w:rsidP="00787F8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  <w:t>Kód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CC2E5"/>
            <w:vAlign w:val="center"/>
          </w:tcPr>
          <w:p w14:paraId="1E2EAEC2" w14:textId="046D50CB" w:rsidR="00885D3E" w:rsidRPr="00885D3E" w:rsidRDefault="00885D3E" w:rsidP="00787F8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  <w:t>Název SDP</w:t>
            </w:r>
          </w:p>
        </w:tc>
      </w:tr>
      <w:tr w:rsidR="00885D3E" w:rsidRPr="00885D3E" w14:paraId="763485DC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FB70E1" w14:textId="77777777" w:rsidR="00885D3E" w:rsidRPr="00885D3E" w:rsidRDefault="00885D3E" w:rsidP="00787F8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IROP_SC6.1_095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C0E56" w14:textId="7F0233E3" w:rsidR="00885D3E" w:rsidRPr="00885D3E" w:rsidRDefault="00885D3E" w:rsidP="004A72F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Počet uživatelů nové nebo modernizované veřejné dopravy za </w:t>
            </w:r>
            <w:proofErr w:type="gramStart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rok - výchozí</w:t>
            </w:r>
            <w:proofErr w:type="gramEnd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 stav</w:t>
            </w:r>
          </w:p>
        </w:tc>
      </w:tr>
      <w:tr w:rsidR="00885D3E" w:rsidRPr="00885D3E" w14:paraId="42FBA7B8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0050C4" w14:textId="77777777" w:rsidR="00885D3E" w:rsidRPr="00885D3E" w:rsidRDefault="00885D3E" w:rsidP="00787F8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IROP_SC6.1_096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44749" w14:textId="128D8587" w:rsidR="00885D3E" w:rsidRPr="00885D3E" w:rsidRDefault="00885D3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Počet uživatelů nové nebo modernizované veřejné dopravy za </w:t>
            </w:r>
            <w:proofErr w:type="gramStart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rok - cílový</w:t>
            </w:r>
            <w:proofErr w:type="gramEnd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/dosažený stav</w:t>
            </w:r>
          </w:p>
        </w:tc>
      </w:tr>
      <w:tr w:rsidR="00885D3E" w:rsidRPr="00885D3E" w14:paraId="776A93CD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3C5F7E" w14:textId="17F0970C" w:rsidR="00885D3E" w:rsidRPr="00885D3E" w:rsidRDefault="00885D3E" w:rsidP="00E068E1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IROP_SC6.1_098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81DB8" w14:textId="4E5EF9E9" w:rsidR="00885D3E" w:rsidRPr="00885D3E" w:rsidRDefault="00885D3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Odhadované emise skleníkových </w:t>
            </w:r>
            <w:proofErr w:type="gramStart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plynů - výchozí</w:t>
            </w:r>
            <w:proofErr w:type="gramEnd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 stav</w:t>
            </w:r>
          </w:p>
        </w:tc>
      </w:tr>
      <w:tr w:rsidR="00885D3E" w:rsidRPr="00885D3E" w14:paraId="4F9C20E9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2B3A89" w14:textId="2CA0BEEA" w:rsidR="00885D3E" w:rsidRPr="00885D3E" w:rsidRDefault="00885D3E" w:rsidP="00E068E1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IROP_SC6.1_099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17ABB" w14:textId="2CA63451" w:rsidR="00885D3E" w:rsidRPr="00885D3E" w:rsidRDefault="00885D3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Odhadované emise skleníkových </w:t>
            </w:r>
            <w:proofErr w:type="gramStart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plynů - cílový</w:t>
            </w:r>
            <w:proofErr w:type="gramEnd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/dosažený stav</w:t>
            </w:r>
          </w:p>
        </w:tc>
      </w:tr>
    </w:tbl>
    <w:p w14:paraId="78E5749E" w14:textId="77777777" w:rsidR="00B20B6F" w:rsidRDefault="00B20B6F" w:rsidP="00D01BB3">
      <w:pPr>
        <w:spacing w:before="240" w:line="276" w:lineRule="auto"/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</w:pPr>
    </w:p>
    <w:p w14:paraId="2FBCA6F8" w14:textId="735E395A" w:rsidR="008E4F7A" w:rsidRPr="00D01BB3" w:rsidRDefault="002801FF" w:rsidP="00EC46FA">
      <w:pPr>
        <w:spacing w:before="240" w:after="0" w:line="276" w:lineRule="auto"/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</w:pPr>
      <w:r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 xml:space="preserve">DOplňující informace k vybraným </w:t>
      </w:r>
      <w:r w:rsidR="00A34067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SDP:</w:t>
      </w:r>
    </w:p>
    <w:tbl>
      <w:tblPr>
        <w:tblpPr w:leftFromText="141" w:rightFromText="141" w:bottomFromText="200" w:vertAnchor="text" w:horzAnchor="margin" w:tblpY="15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5386"/>
        <w:gridCol w:w="1276"/>
        <w:gridCol w:w="992"/>
      </w:tblGrid>
      <w:tr w:rsidR="00581BE2" w:rsidRPr="00D01BB3" w14:paraId="733ED6CC" w14:textId="77777777" w:rsidTr="002801FF">
        <w:trPr>
          <w:trHeight w:val="9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6556262" w14:textId="77777777" w:rsidR="00D01BB3" w:rsidRPr="00581BE2" w:rsidRDefault="00D01BB3" w:rsidP="00581BE2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bookmarkStart w:id="1" w:name="_Hlk113687597"/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AC185A" w14:textId="77777777" w:rsidR="00D01BB3" w:rsidRPr="002801FF" w:rsidRDefault="00D01BB3" w:rsidP="00D01BB3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IROP_SC6.1_095 - Počet uživatelů nové nebo modernizované veřejné dopravy za </w:t>
            </w:r>
            <w:proofErr w:type="gramStart"/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rok - výchozí</w:t>
            </w:r>
            <w:proofErr w:type="gramEnd"/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2F0ADD" w14:textId="77777777" w:rsidR="00D01BB3" w:rsidRPr="00581BE2" w:rsidRDefault="00D01BB3" w:rsidP="00D01BB3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C095C8" w14:textId="77777777" w:rsidR="00D01BB3" w:rsidRPr="00581BE2" w:rsidRDefault="00D01BB3" w:rsidP="00D01BB3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D01BB3" w:rsidRPr="00F106A2" w14:paraId="7B27174A" w14:textId="77777777" w:rsidTr="002801FF">
        <w:trPr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CC33257" w14:textId="68D28858" w:rsidR="00D01BB3" w:rsidRPr="00581BE2" w:rsidRDefault="00D01BB3" w:rsidP="00581BE2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76F1289" w14:textId="47BF2C07" w:rsidR="00D01BB3" w:rsidRPr="00581BE2" w:rsidRDefault="00D01BB3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Uveďte výchozí stav počtu uživatelů veřejné dopravy vypočtený dle pokynů stanovených indikátorem 749 001 - Počet uživatelů nové nebo modernizované veřejné dopravy za rok. Hodnota musí být po celou dobu realizace a udržitelnosti udržována aktuální a ve shodě s kapitolou č</w:t>
            </w:r>
            <w:r w:rsidR="00846213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Studie proveditelnosti.</w:t>
            </w:r>
          </w:p>
        </w:tc>
      </w:tr>
      <w:tr w:rsidR="00D01BB3" w:rsidRPr="00F106A2" w14:paraId="06F00F84" w14:textId="77777777" w:rsidTr="00581BE2">
        <w:trPr>
          <w:trHeight w:val="53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5B56619" w14:textId="77777777" w:rsidR="00D01BB3" w:rsidRPr="00581BE2" w:rsidRDefault="00D01BB3" w:rsidP="00581BE2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0AF3" w14:textId="0A07A587" w:rsidR="00A34067" w:rsidRDefault="00581BE2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749 001 - Počet uživatelů nové nebo modernizované veřejné dopravy za ro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k a její hodnota </w:t>
            </w:r>
            <w:r w:rsid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je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v okamžiku podání žádosti o podporu shodná s výchozí hodnotou indikátoru a údajem uvedeným v kapitole č. 7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tudie proveditelnosti</w:t>
            </w:r>
            <w:r w:rsidR="00B20B6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. </w:t>
            </w:r>
          </w:p>
          <w:p w14:paraId="1970EBE3" w14:textId="6265D5C7" w:rsidR="00D01BB3" w:rsidRDefault="00581BE2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realizace i udržitelnosti projektu mohou nastat změny, které vyvolají nutnost přepočtení výchozího stavu (např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. vyřazení jiných stávajících vozidel z provozu</w:t>
            </w:r>
            <w:r w:rsidR="00280FE4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nebo dotčení jiných linek veřejné dopravy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, než bylo původně plánováno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) a úprav</w:t>
            </w:r>
            <w:r w:rsidR="00F106A2">
              <w:rPr>
                <w:rFonts w:eastAsia="Calibri" w:cs="Arial"/>
                <w:color w:val="000000"/>
                <w:sz w:val="20"/>
                <w:lang w:val="cs-CZ" w:eastAsia="en-US"/>
              </w:rPr>
              <w:t>y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kapitoly č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proveditelnosti, je nutné tuto změnu zachytit i v monitorovacím systému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8F1FCC"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A34067" w:rsidRPr="00A34067">
              <w:rPr>
                <w:rFonts w:eastAsia="Calibri" w:cs="Arial"/>
                <w:color w:val="000000"/>
                <w:sz w:val="20"/>
                <w:lang w:val="cs-CZ" w:eastAsia="en-US"/>
              </w:rPr>
              <w:t>výchozí hodnota indikátoru je metodicky stanovená jako statická a během realizace a udržitelnosti projektu ji není možné zpětně upravovat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, nelze ji k tomuto účelu použít.</w:t>
            </w:r>
          </w:p>
          <w:p w14:paraId="3B1A9C6F" w14:textId="77C713CC" w:rsidR="00A34067" w:rsidRPr="00581BE2" w:rsidRDefault="00A34067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 těchto </w:t>
            </w:r>
            <w:proofErr w:type="gramStart"/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případech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345A1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- 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>v</w:t>
            </w:r>
            <w:proofErr w:type="gramEnd"/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období po vydání právního aktu</w:t>
            </w:r>
            <w:r w:rsidR="00345A1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-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je nově přepočítaná hodnota 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při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použit</w:t>
            </w:r>
            <w:r w:rsidR="00345A11">
              <w:rPr>
                <w:rFonts w:eastAsia="Calibri" w:cs="Arial"/>
                <w:color w:val="000000"/>
                <w:sz w:val="20"/>
                <w:lang w:val="cs-CZ" w:eastAsia="en-US"/>
              </w:rPr>
              <w:t>í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shodné metodiky výpočtu povinně zanesena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 také do t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éto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SDP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>, přičemž výchozí hodnota indikátoru zůstává v původní výši.</w:t>
            </w:r>
          </w:p>
        </w:tc>
      </w:tr>
      <w:bookmarkEnd w:id="1"/>
    </w:tbl>
    <w:p w14:paraId="4A4187E5" w14:textId="77777777" w:rsidR="00AC14CA" w:rsidRPr="00EC1663" w:rsidRDefault="00AC14CA" w:rsidP="00827028">
      <w:pPr>
        <w:pStyle w:val="Zkladntext"/>
        <w:tabs>
          <w:tab w:val="left" w:pos="1710"/>
        </w:tabs>
        <w:spacing w:before="120" w:after="120" w:line="60" w:lineRule="atLeast"/>
        <w:jc w:val="both"/>
        <w:rPr>
          <w:sz w:val="20"/>
          <w:szCs w:val="20"/>
        </w:rPr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5386"/>
        <w:gridCol w:w="1276"/>
        <w:gridCol w:w="992"/>
      </w:tblGrid>
      <w:tr w:rsidR="00A34067" w:rsidRPr="00581BE2" w14:paraId="4100FA0F" w14:textId="77777777" w:rsidTr="00EC1663">
        <w:trPr>
          <w:cantSplit/>
          <w:trHeight w:val="126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9F5C725" w14:textId="77777777" w:rsidR="00A34067" w:rsidRPr="00581BE2" w:rsidRDefault="00A34067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E5CCC2" w14:textId="2C3DA85C" w:rsidR="00A34067" w:rsidRPr="002801FF" w:rsidRDefault="00A34067" w:rsidP="00AC14CA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IROP_SC6.1_09</w:t>
            </w:r>
            <w:r w:rsid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6</w:t>
            </w: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- Počet uživatelů nové nebo modernizované veřejné dopravy za </w:t>
            </w:r>
            <w:proofErr w:type="gramStart"/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rok </w:t>
            </w:r>
            <w:r w:rsidR="0037325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-</w:t>
            </w:r>
            <w:r w:rsidR="0037325F"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cílový</w:t>
            </w:r>
            <w:proofErr w:type="gramEnd"/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/dosažený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EECDAAF" w14:textId="77777777" w:rsidR="00A34067" w:rsidRPr="00581BE2" w:rsidRDefault="00A34067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8E4BDB" w14:textId="77777777" w:rsidR="00A34067" w:rsidRPr="00581BE2" w:rsidRDefault="00A34067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A34067" w:rsidRPr="00F106A2" w14:paraId="7DB0F9F8" w14:textId="77777777" w:rsidTr="00EC1663">
        <w:trPr>
          <w:cantSplit/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D85E1B2" w14:textId="77777777" w:rsidR="00A34067" w:rsidRPr="00581BE2" w:rsidRDefault="00A34067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430581B" w14:textId="547095AE" w:rsidR="00A34067" w:rsidRPr="00581BE2" w:rsidRDefault="00A34067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Uveďte </w:t>
            </w:r>
            <w:r w:rsidR="00F85F57">
              <w:rPr>
                <w:rFonts w:eastAsia="Calibri" w:cs="Arial"/>
                <w:color w:val="000000"/>
                <w:sz w:val="20"/>
                <w:lang w:val="cs-CZ" w:eastAsia="en-US"/>
              </w:rPr>
              <w:t>cílový/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dosažený 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stav počtu uživatelů veřejné dopravy vypočtený dle pokynů stanovených indikátorem 749 001 - Počet uživatelů nové nebo modernizované veřejné dopravy za rok. Hodnota musí být po celou dobu realizace a udržitelnosti udržována aktuální a ve shodě s kapitolou č</w:t>
            </w:r>
            <w:r w:rsidR="00846213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proveditelnosti.</w:t>
            </w:r>
          </w:p>
        </w:tc>
      </w:tr>
      <w:tr w:rsidR="00A34067" w:rsidRPr="00F106A2" w14:paraId="5A9F01E4" w14:textId="77777777" w:rsidTr="00EC1663">
        <w:trPr>
          <w:cantSplit/>
          <w:trHeight w:val="53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9728A2C" w14:textId="77777777" w:rsidR="00A34067" w:rsidRPr="00581BE2" w:rsidRDefault="00A34067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5CD4" w14:textId="7E2B2041" w:rsidR="00A34067" w:rsidRDefault="00A34067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749 001 - Počet uživatelů nové nebo modernizované veřejné dopravy za ro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k a její hodnota </w:t>
            </w:r>
            <w:r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je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v okamžiku podání žádosti o podporu shodná s </w:t>
            </w:r>
            <w:r w:rsidR="009A373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cílovou</w:t>
            </w:r>
            <w:r w:rsidR="009A3737"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hodnotou indikátoru a údajem uvedeným v kapitole č. 7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tudie proveditelnosti.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 </w:t>
            </w:r>
          </w:p>
          <w:p w14:paraId="177BD53B" w14:textId="57815AF8" w:rsidR="00C35475" w:rsidRDefault="00A34067" w:rsidP="00AC14CA">
            <w:pPr>
              <w:spacing w:before="80" w:after="80" w:line="276" w:lineRule="auto"/>
              <w:ind w:right="170"/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realizace i udržitelnosti projektu mohou nastat změny, které vyvolají nutnost přepočtení 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cílového/dosaženého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stavu (např</w:t>
            </w:r>
            <w:r w:rsidR="00846213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pořízení jiných vozidel</w:t>
            </w:r>
            <w:r w:rsidR="006A4DBC" w:rsidRPr="006A4DBC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nebo dotčení jiných linek veřejné dopravy, než bylo původně plánováno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) a úprav</w:t>
            </w:r>
            <w:r w:rsidR="004A1BE5">
              <w:rPr>
                <w:rFonts w:eastAsia="Calibri" w:cs="Arial"/>
                <w:color w:val="000000"/>
                <w:sz w:val="20"/>
                <w:lang w:val="cs-CZ" w:eastAsia="en-US"/>
              </w:rPr>
              <w:t>y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kapitoly č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proveditelnosti, je nutné tuto změnu zachytit i v monitorovacím systému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. </w:t>
            </w:r>
          </w:p>
          <w:p w14:paraId="39B7C8CC" w14:textId="188BB197" w:rsidR="00A34067" w:rsidRPr="00581BE2" w:rsidRDefault="008F1FCC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cílovou hodnotu indikátoru není možné v období udržitelnosti projektu upravovat, nelze ji k tomuto účelu použít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říjemce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je proto 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povinen zanést nově přepočítanou hodnotu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(</w:t>
            </w:r>
            <w:r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ve shodě s nastavením SDP pro výchozí stav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a 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při použití shodné metodiky výpočtu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)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tudie proveditelnosti také do této SDP, a to 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kdykoli 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od okamžiku vydání právního aktu.</w:t>
            </w:r>
          </w:p>
        </w:tc>
      </w:tr>
    </w:tbl>
    <w:p w14:paraId="2F23FFC0" w14:textId="77777777" w:rsidR="00A34067" w:rsidRPr="00345A11" w:rsidRDefault="00A34067" w:rsidP="00827028">
      <w:pPr>
        <w:pStyle w:val="Zkladntext"/>
        <w:tabs>
          <w:tab w:val="left" w:pos="1710"/>
        </w:tabs>
        <w:spacing w:before="120" w:after="120" w:line="60" w:lineRule="atLeast"/>
        <w:jc w:val="both"/>
        <w:rPr>
          <w:sz w:val="16"/>
          <w:szCs w:val="16"/>
        </w:rPr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5386"/>
        <w:gridCol w:w="1276"/>
        <w:gridCol w:w="992"/>
      </w:tblGrid>
      <w:tr w:rsidR="004F2371" w:rsidRPr="004F2371" w14:paraId="795628C5" w14:textId="77777777" w:rsidTr="00EC1663">
        <w:trPr>
          <w:trHeight w:val="9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4A802FB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872243" w14:textId="440CF054" w:rsidR="004F2371" w:rsidRPr="004F2371" w:rsidRDefault="004F2371" w:rsidP="00AC14CA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IROP_SC6.1_09</w:t>
            </w:r>
            <w:r w:rsid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8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-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Odhadované emise skleníkových plynů</w:t>
            </w:r>
            <w:r w:rsidR="003B0EC9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- výchozí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73A3E54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75FC1F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4F2371" w:rsidRPr="004F2371" w14:paraId="544B1D3D" w14:textId="77777777" w:rsidTr="00EC1663">
        <w:trPr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96702FA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EA22EF" w14:textId="4228AAFF" w:rsidR="004F2371" w:rsidRPr="004F2371" w:rsidRDefault="00E068E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Uveďte výchozí množství emisí skleníkových plynů</w:t>
            </w:r>
            <w:r w:rsidR="003B0EC9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dle pokynů stanovených indikátorem 360 102 - Odhadované emise skleníkových plynů. Hodnota musí být po celou dobu realizace a udržitelnosti udržována aktuální a ve shodě s kapitolou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proveditelnosti.</w:t>
            </w:r>
          </w:p>
        </w:tc>
      </w:tr>
      <w:tr w:rsidR="004F2371" w:rsidRPr="004F2371" w14:paraId="1D718EF1" w14:textId="77777777" w:rsidTr="00EC1663">
        <w:trPr>
          <w:trHeight w:val="53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0AD9516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445B" w14:textId="2D34DADF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="00E068E1"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360 102 - Odhadované emise skleníkových plynů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a její hodnota 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je v okamžiku podání žádosti o podporu shodná s výchozí hodnotou indikátoru a údajem uvedeným v kapitole č. 7</w:t>
            </w:r>
            <w:r w:rsidR="00E13D9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tudie proveditelnosti. </w:t>
            </w:r>
          </w:p>
          <w:p w14:paraId="0F744F52" w14:textId="5FBD5582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realizace i udržitelnosti projektu mohou nastat změny, které vyvolají nutnost přepočtení výchozího stavu (např. vyřazení jiných stávajících vozidel z provozu nebo dotčení jiných linek veřejné dopravy, než bylo původně plánováno) a úpravy kapitoly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tudie proveditelnosti, je nutné tuto změnu zachytit i v monitorovacím systému. </w:t>
            </w:r>
            <w:r w:rsidR="008F1FCC"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výchozí hodnota indikátoru je metodicky stanovená jako statická a během realizace a udržitelnosti projektu ji není možné zpětně upravovat, nelze ji k tomuto účelu použít.</w:t>
            </w:r>
          </w:p>
          <w:p w14:paraId="7C13C4CB" w14:textId="7D86346A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 těchto </w:t>
            </w:r>
            <w:proofErr w:type="gramStart"/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případech </w:t>
            </w:r>
            <w:r w:rsidR="00E13D9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- 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v</w:t>
            </w:r>
            <w:proofErr w:type="gramEnd"/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období po vydání právního aktu</w:t>
            </w:r>
            <w:r w:rsidR="00E13D9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-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je nově přepočítaná hodnota při použit</w:t>
            </w:r>
            <w:r w:rsidR="003B0EC9">
              <w:rPr>
                <w:rFonts w:eastAsia="Calibri" w:cs="Arial"/>
                <w:color w:val="000000"/>
                <w:sz w:val="20"/>
                <w:lang w:val="cs-CZ" w:eastAsia="en-US"/>
              </w:rPr>
              <w:t>í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shodné metodiky výpočtu povinně zanesena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 také do této SDP, přičemž výchozí hodnota indikátoru zůstává v původní výši.</w:t>
            </w:r>
          </w:p>
        </w:tc>
      </w:tr>
      <w:tr w:rsidR="004F2371" w:rsidRPr="004F2371" w14:paraId="771F8DEB" w14:textId="77777777" w:rsidTr="00EC1663">
        <w:trPr>
          <w:trHeight w:val="9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8586284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bookmarkStart w:id="2" w:name="_Hlk114725560"/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lastRenderedPageBreak/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C82FBB" w14:textId="069CD6EA" w:rsidR="004F2371" w:rsidRPr="004F2371" w:rsidRDefault="004F2371" w:rsidP="00AC14CA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IROP_SC6.1_09</w:t>
            </w:r>
            <w:r w:rsid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9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-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Odhadované emise skleníkových plynů</w:t>
            </w:r>
            <w:r w:rsidR="00A97F8D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- cílový/dosažený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7DBE13D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5CC5DC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4F2371" w:rsidRPr="004F2371" w14:paraId="13A93FF7" w14:textId="77777777" w:rsidTr="00EC1663">
        <w:trPr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0945A19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12FF3" w14:textId="2095BEB2" w:rsidR="004F2371" w:rsidRPr="004F2371" w:rsidRDefault="00E068E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Uveďte cílové/dosažené množství emisí skleníkových plynů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dle pokynů stanovených indikátorem 360 102 - Odhadované emise skleníkových plynů. Hodnota musí být po celou dobu realizace a udržitelnosti udržována aktuální a ve shodě s kapitolou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proveditelnosti.</w:t>
            </w:r>
          </w:p>
        </w:tc>
      </w:tr>
      <w:tr w:rsidR="004F2371" w:rsidRPr="004F2371" w14:paraId="5E10E1B0" w14:textId="77777777" w:rsidTr="00EC1663">
        <w:trPr>
          <w:trHeight w:val="400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F07B388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4937" w14:textId="2BC173A1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="003633C3" w:rsidRPr="003633C3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360 102 - Odhadované emise skleníkových plynů 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a její hodnota 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je v okamžiku podání žádosti o podporu shodná s výchozí hodnotou indikátoru a údajem uvedeným v kapitole č. 7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tudie proveditelnosti. </w:t>
            </w:r>
          </w:p>
          <w:p w14:paraId="6FBFEFDC" w14:textId="377DAD79" w:rsidR="00C35475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realizace i udržitelnosti projektu mohou nastat změny, které vyvolají nutnost přepočtení výchozího stavu (např. vyřazení jiných stávajících vozidel z provozu nebo dotčení jiných linek veřejné dopravy, než bylo původně plánováno) a úpravy kapitoly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tudie proveditelnosti, je nutné tuto změnu zachytit i v monitorovacím systému. </w:t>
            </w:r>
          </w:p>
          <w:p w14:paraId="123D8B2C" w14:textId="6B74C775" w:rsidR="004F2371" w:rsidRPr="004F2371" w:rsidRDefault="008F1FCC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8B0057">
              <w:rPr>
                <w:rFonts w:eastAsia="Calibri" w:cs="Arial"/>
                <w:color w:val="000000"/>
                <w:sz w:val="20"/>
                <w:lang w:val="cs-CZ" w:eastAsia="en-US"/>
              </w:rPr>
              <w:t>cílovou</w:t>
            </w:r>
            <w:r w:rsidR="008B0057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hodnot</w:t>
            </w:r>
            <w:r w:rsidR="008B0057">
              <w:rPr>
                <w:rFonts w:eastAsia="Calibri" w:cs="Arial"/>
                <w:color w:val="000000"/>
                <w:sz w:val="20"/>
                <w:lang w:val="cs-CZ" w:eastAsia="en-US"/>
              </w:rPr>
              <w:t>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indikátoru není možné </w:t>
            </w:r>
            <w:r w:rsidR="008B0057">
              <w:rPr>
                <w:rFonts w:eastAsia="Calibri" w:cs="Arial"/>
                <w:color w:val="000000"/>
                <w:sz w:val="20"/>
                <w:lang w:val="cs-CZ" w:eastAsia="en-US"/>
              </w:rPr>
              <w:t>v období udržitelnosti projektu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upravovat, nelze ji k tomuto účelu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použít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Příjemce je proto 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povinen zanést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nově přepočít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anou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hodnot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(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ve shodě s nastavením SDP pro výchozí stav a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při použit</w:t>
            </w:r>
            <w:r w:rsidR="004D72B5">
              <w:rPr>
                <w:rFonts w:eastAsia="Calibri" w:cs="Arial"/>
                <w:color w:val="000000"/>
                <w:sz w:val="20"/>
                <w:lang w:val="cs-CZ" w:eastAsia="en-US"/>
              </w:rPr>
              <w:t>í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shodné metodiky výpočtu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)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 také do této SDP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, a to kdykoli od okamžiku</w:t>
            </w:r>
            <w:r w:rsidR="00C35475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vydání právního aktu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</w:p>
        </w:tc>
      </w:tr>
      <w:bookmarkEnd w:id="2"/>
    </w:tbl>
    <w:p w14:paraId="50CF3606" w14:textId="77777777" w:rsidR="004F2371" w:rsidRPr="00D01BB3" w:rsidRDefault="004F2371" w:rsidP="00D01BB3">
      <w:pPr>
        <w:pStyle w:val="Zkladntext"/>
        <w:tabs>
          <w:tab w:val="left" w:pos="1710"/>
        </w:tabs>
        <w:spacing w:before="120" w:after="120" w:line="60" w:lineRule="atLeast"/>
        <w:jc w:val="both"/>
      </w:pPr>
    </w:p>
    <w:sectPr w:rsidR="004F2371" w:rsidRPr="00D01BB3" w:rsidSect="00496E8A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319C3" w14:textId="77777777" w:rsidR="00DD35DD" w:rsidRDefault="00DD35DD">
      <w:r>
        <w:separator/>
      </w:r>
    </w:p>
  </w:endnote>
  <w:endnote w:type="continuationSeparator" w:id="0">
    <w:p w14:paraId="6E082BDF" w14:textId="77777777" w:rsidR="00DD35DD" w:rsidRDefault="00DD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015374"/>
      <w:docPartObj>
        <w:docPartGallery w:val="Page Numbers (Bottom of Page)"/>
        <w:docPartUnique/>
      </w:docPartObj>
    </w:sdtPr>
    <w:sdtEndPr/>
    <w:sdtContent>
      <w:p w14:paraId="272A339B" w14:textId="77777777" w:rsidR="00B44983" w:rsidRDefault="00B44983">
        <w:pPr>
          <w:pStyle w:val="Zpat"/>
          <w:jc w:val="right"/>
        </w:pPr>
        <w:r w:rsidRPr="003A1E9F">
          <w:rPr>
            <w:rFonts w:cs="Arial"/>
            <w:sz w:val="20"/>
            <w:szCs w:val="20"/>
          </w:rPr>
          <w:fldChar w:fldCharType="begin"/>
        </w:r>
        <w:r w:rsidRPr="003A1E9F">
          <w:rPr>
            <w:rFonts w:cs="Arial"/>
            <w:sz w:val="20"/>
            <w:szCs w:val="20"/>
          </w:rPr>
          <w:instrText>PAGE   \* MERGEFORMAT</w:instrText>
        </w:r>
        <w:r w:rsidRPr="003A1E9F">
          <w:rPr>
            <w:rFonts w:cs="Arial"/>
            <w:sz w:val="20"/>
            <w:szCs w:val="20"/>
          </w:rPr>
          <w:fldChar w:fldCharType="separate"/>
        </w:r>
        <w:r>
          <w:rPr>
            <w:rFonts w:cs="Arial"/>
            <w:noProof/>
            <w:sz w:val="20"/>
            <w:szCs w:val="20"/>
          </w:rPr>
          <w:t>3</w:t>
        </w:r>
        <w:r w:rsidRPr="003A1E9F">
          <w:rPr>
            <w:rFonts w:cs="Arial"/>
            <w:sz w:val="20"/>
            <w:szCs w:val="20"/>
          </w:rPr>
          <w:fldChar w:fldCharType="end"/>
        </w:r>
      </w:p>
    </w:sdtContent>
  </w:sdt>
  <w:p w14:paraId="190A8CB0" w14:textId="77777777" w:rsidR="00B44983" w:rsidRDefault="00B44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775FCD1D" w:rsidR="00ED5AEA" w:rsidRDefault="00615A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71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25451" w14:textId="77777777" w:rsidR="00DD35DD" w:rsidRDefault="00DD35DD">
      <w:bookmarkStart w:id="0" w:name="_Hlk115329949"/>
      <w:bookmarkEnd w:id="0"/>
      <w:r>
        <w:separator/>
      </w:r>
    </w:p>
  </w:footnote>
  <w:footnote w:type="continuationSeparator" w:id="0">
    <w:p w14:paraId="49F4A333" w14:textId="77777777" w:rsidR="00DD35DD" w:rsidRDefault="00DD3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F2FD" w14:textId="77777777" w:rsidR="00B44983" w:rsidRDefault="00B44983" w:rsidP="008A17FD">
    <w:pPr>
      <w:pStyle w:val="Zhlav"/>
      <w:jc w:val="center"/>
    </w:pPr>
  </w:p>
  <w:p w14:paraId="5644AD60" w14:textId="77777777" w:rsidR="00B44983" w:rsidRDefault="00B449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A72D" w14:textId="77777777" w:rsidR="00B44983" w:rsidRDefault="00B44983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F796D0" wp14:editId="48617C35">
          <wp:extent cx="5759450" cy="699135"/>
          <wp:effectExtent l="0" t="0" r="0" b="571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0039A" w14:textId="3E5DE61E" w:rsidR="00B44983" w:rsidRDefault="00B4498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1667" w14:textId="16D598AE" w:rsidR="00C86EBE" w:rsidRDefault="008000E0" w:rsidP="00591B56">
    <w:pPr>
      <w:pStyle w:val="Zhlav"/>
      <w:jc w:val="center"/>
    </w:pPr>
    <w:r>
      <w:rPr>
        <w:noProof/>
      </w:rPr>
      <w:drawing>
        <wp:inline distT="0" distB="0" distL="0" distR="0" wp14:anchorId="7F6AD7F4" wp14:editId="0032D536">
          <wp:extent cx="5760720" cy="69469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314603">
    <w:abstractNumId w:val="19"/>
  </w:num>
  <w:num w:numId="2" w16cid:durableId="13192588">
    <w:abstractNumId w:val="4"/>
  </w:num>
  <w:num w:numId="3" w16cid:durableId="1761022104">
    <w:abstractNumId w:val="11"/>
  </w:num>
  <w:num w:numId="4" w16cid:durableId="1777480590">
    <w:abstractNumId w:val="10"/>
  </w:num>
  <w:num w:numId="5" w16cid:durableId="319895789">
    <w:abstractNumId w:val="6"/>
  </w:num>
  <w:num w:numId="6" w16cid:durableId="751777171">
    <w:abstractNumId w:val="2"/>
  </w:num>
  <w:num w:numId="7" w16cid:durableId="567544884">
    <w:abstractNumId w:val="13"/>
  </w:num>
  <w:num w:numId="8" w16cid:durableId="2073576399">
    <w:abstractNumId w:val="7"/>
  </w:num>
  <w:num w:numId="9" w16cid:durableId="1634560245">
    <w:abstractNumId w:val="20"/>
  </w:num>
  <w:num w:numId="10" w16cid:durableId="1858810527">
    <w:abstractNumId w:val="1"/>
  </w:num>
  <w:num w:numId="11" w16cid:durableId="987636364">
    <w:abstractNumId w:val="17"/>
  </w:num>
  <w:num w:numId="12" w16cid:durableId="770399269">
    <w:abstractNumId w:val="9"/>
  </w:num>
  <w:num w:numId="13" w16cid:durableId="639262363">
    <w:abstractNumId w:val="14"/>
  </w:num>
  <w:num w:numId="14" w16cid:durableId="1679233473">
    <w:abstractNumId w:val="5"/>
  </w:num>
  <w:num w:numId="15" w16cid:durableId="11808326">
    <w:abstractNumId w:val="16"/>
  </w:num>
  <w:num w:numId="16" w16cid:durableId="498347996">
    <w:abstractNumId w:val="8"/>
  </w:num>
  <w:num w:numId="17" w16cid:durableId="731390101">
    <w:abstractNumId w:val="12"/>
  </w:num>
  <w:num w:numId="18" w16cid:durableId="22632150">
    <w:abstractNumId w:val="18"/>
  </w:num>
  <w:num w:numId="19" w16cid:durableId="1573155057">
    <w:abstractNumId w:val="15"/>
  </w:num>
  <w:num w:numId="20" w16cid:durableId="764763824">
    <w:abstractNumId w:val="0"/>
  </w:num>
  <w:num w:numId="21" w16cid:durableId="23547984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1631"/>
    <w:rsid w:val="000174CE"/>
    <w:rsid w:val="00046676"/>
    <w:rsid w:val="00066C41"/>
    <w:rsid w:val="000748F7"/>
    <w:rsid w:val="00086C35"/>
    <w:rsid w:val="000A0DC4"/>
    <w:rsid w:val="000A52EE"/>
    <w:rsid w:val="000B4F3D"/>
    <w:rsid w:val="000B646B"/>
    <w:rsid w:val="000B6E14"/>
    <w:rsid w:val="000C3977"/>
    <w:rsid w:val="000D1F6D"/>
    <w:rsid w:val="000E07AF"/>
    <w:rsid w:val="000F634B"/>
    <w:rsid w:val="0010163A"/>
    <w:rsid w:val="001037F4"/>
    <w:rsid w:val="00106A15"/>
    <w:rsid w:val="001348FA"/>
    <w:rsid w:val="00134A88"/>
    <w:rsid w:val="00137F80"/>
    <w:rsid w:val="00140CBD"/>
    <w:rsid w:val="00172A27"/>
    <w:rsid w:val="00187F3B"/>
    <w:rsid w:val="00195CF8"/>
    <w:rsid w:val="001B13A0"/>
    <w:rsid w:val="001B358D"/>
    <w:rsid w:val="001C7C1E"/>
    <w:rsid w:val="001D12B3"/>
    <w:rsid w:val="001E1278"/>
    <w:rsid w:val="001E4F56"/>
    <w:rsid w:val="001F5B0A"/>
    <w:rsid w:val="00203B50"/>
    <w:rsid w:val="00211642"/>
    <w:rsid w:val="00215E6E"/>
    <w:rsid w:val="00220C48"/>
    <w:rsid w:val="002211BD"/>
    <w:rsid w:val="00236945"/>
    <w:rsid w:val="002454E3"/>
    <w:rsid w:val="00253E93"/>
    <w:rsid w:val="00260516"/>
    <w:rsid w:val="00264743"/>
    <w:rsid w:val="00270072"/>
    <w:rsid w:val="002801FF"/>
    <w:rsid w:val="00280FE4"/>
    <w:rsid w:val="00295EB2"/>
    <w:rsid w:val="002A3EDF"/>
    <w:rsid w:val="002B663B"/>
    <w:rsid w:val="002C4824"/>
    <w:rsid w:val="00302528"/>
    <w:rsid w:val="0030344E"/>
    <w:rsid w:val="0032791D"/>
    <w:rsid w:val="003331D3"/>
    <w:rsid w:val="003359D8"/>
    <w:rsid w:val="00345A11"/>
    <w:rsid w:val="00356A13"/>
    <w:rsid w:val="003633C3"/>
    <w:rsid w:val="003639DF"/>
    <w:rsid w:val="0037325F"/>
    <w:rsid w:val="003950DF"/>
    <w:rsid w:val="003B0EC9"/>
    <w:rsid w:val="003C1AAD"/>
    <w:rsid w:val="003D3451"/>
    <w:rsid w:val="003F42A1"/>
    <w:rsid w:val="0040092F"/>
    <w:rsid w:val="0040422F"/>
    <w:rsid w:val="00446097"/>
    <w:rsid w:val="004505C3"/>
    <w:rsid w:val="0045363B"/>
    <w:rsid w:val="00475647"/>
    <w:rsid w:val="00477E53"/>
    <w:rsid w:val="00496E8A"/>
    <w:rsid w:val="004A1BE5"/>
    <w:rsid w:val="004A2881"/>
    <w:rsid w:val="004A72F8"/>
    <w:rsid w:val="004A7C4E"/>
    <w:rsid w:val="004D0E5B"/>
    <w:rsid w:val="004D67F9"/>
    <w:rsid w:val="004D72B5"/>
    <w:rsid w:val="004D7D8F"/>
    <w:rsid w:val="004F152F"/>
    <w:rsid w:val="004F2371"/>
    <w:rsid w:val="005169EF"/>
    <w:rsid w:val="0052258D"/>
    <w:rsid w:val="00535FF3"/>
    <w:rsid w:val="005449F7"/>
    <w:rsid w:val="00545FE2"/>
    <w:rsid w:val="005525A3"/>
    <w:rsid w:val="0055265C"/>
    <w:rsid w:val="0055445C"/>
    <w:rsid w:val="00556211"/>
    <w:rsid w:val="005748A7"/>
    <w:rsid w:val="00581BE2"/>
    <w:rsid w:val="00586B4A"/>
    <w:rsid w:val="00590F63"/>
    <w:rsid w:val="00591B56"/>
    <w:rsid w:val="005939CA"/>
    <w:rsid w:val="005A6E2D"/>
    <w:rsid w:val="005C1DE1"/>
    <w:rsid w:val="005D3190"/>
    <w:rsid w:val="00615A8A"/>
    <w:rsid w:val="006265B2"/>
    <w:rsid w:val="00634BD8"/>
    <w:rsid w:val="006576B8"/>
    <w:rsid w:val="00663704"/>
    <w:rsid w:val="0068669F"/>
    <w:rsid w:val="00690C1C"/>
    <w:rsid w:val="00691333"/>
    <w:rsid w:val="006A4DBC"/>
    <w:rsid w:val="006B25B0"/>
    <w:rsid w:val="006B321C"/>
    <w:rsid w:val="006B70A0"/>
    <w:rsid w:val="006E599E"/>
    <w:rsid w:val="0071449C"/>
    <w:rsid w:val="007364EB"/>
    <w:rsid w:val="00742208"/>
    <w:rsid w:val="00747466"/>
    <w:rsid w:val="00755525"/>
    <w:rsid w:val="007556D9"/>
    <w:rsid w:val="00782DB7"/>
    <w:rsid w:val="007856B5"/>
    <w:rsid w:val="00787F8E"/>
    <w:rsid w:val="007A7CA0"/>
    <w:rsid w:val="007B3869"/>
    <w:rsid w:val="007B3F0A"/>
    <w:rsid w:val="007C5C51"/>
    <w:rsid w:val="008000E0"/>
    <w:rsid w:val="00800DF2"/>
    <w:rsid w:val="00801EFF"/>
    <w:rsid w:val="00822D5A"/>
    <w:rsid w:val="00827028"/>
    <w:rsid w:val="00840259"/>
    <w:rsid w:val="00846213"/>
    <w:rsid w:val="008647AF"/>
    <w:rsid w:val="00885D3E"/>
    <w:rsid w:val="008864F4"/>
    <w:rsid w:val="008A12FE"/>
    <w:rsid w:val="008B0057"/>
    <w:rsid w:val="008B2E77"/>
    <w:rsid w:val="008D7BA6"/>
    <w:rsid w:val="008E16DB"/>
    <w:rsid w:val="008E4F7A"/>
    <w:rsid w:val="008E5413"/>
    <w:rsid w:val="008F1FCC"/>
    <w:rsid w:val="00902234"/>
    <w:rsid w:val="00907EF0"/>
    <w:rsid w:val="009138D8"/>
    <w:rsid w:val="00952898"/>
    <w:rsid w:val="00974847"/>
    <w:rsid w:val="00976866"/>
    <w:rsid w:val="009834D2"/>
    <w:rsid w:val="00983AED"/>
    <w:rsid w:val="009934DB"/>
    <w:rsid w:val="00996998"/>
    <w:rsid w:val="009A3737"/>
    <w:rsid w:val="009A75D5"/>
    <w:rsid w:val="009B53AB"/>
    <w:rsid w:val="009B62F4"/>
    <w:rsid w:val="009B7092"/>
    <w:rsid w:val="009D0C22"/>
    <w:rsid w:val="009E4E54"/>
    <w:rsid w:val="009E602C"/>
    <w:rsid w:val="009E6E22"/>
    <w:rsid w:val="009E72C5"/>
    <w:rsid w:val="009F310B"/>
    <w:rsid w:val="00A077AC"/>
    <w:rsid w:val="00A27C39"/>
    <w:rsid w:val="00A31D54"/>
    <w:rsid w:val="00A34067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97F8D"/>
    <w:rsid w:val="00AA2208"/>
    <w:rsid w:val="00AB1C33"/>
    <w:rsid w:val="00AC14CA"/>
    <w:rsid w:val="00AF5783"/>
    <w:rsid w:val="00B0478F"/>
    <w:rsid w:val="00B20B6F"/>
    <w:rsid w:val="00B217E1"/>
    <w:rsid w:val="00B4169A"/>
    <w:rsid w:val="00B44983"/>
    <w:rsid w:val="00B54C21"/>
    <w:rsid w:val="00B602EC"/>
    <w:rsid w:val="00B66475"/>
    <w:rsid w:val="00B748DE"/>
    <w:rsid w:val="00B75A41"/>
    <w:rsid w:val="00B80CF9"/>
    <w:rsid w:val="00BD515E"/>
    <w:rsid w:val="00BE1ECE"/>
    <w:rsid w:val="00BE5ECA"/>
    <w:rsid w:val="00BF5D85"/>
    <w:rsid w:val="00BF76B5"/>
    <w:rsid w:val="00C03BE1"/>
    <w:rsid w:val="00C20062"/>
    <w:rsid w:val="00C264AA"/>
    <w:rsid w:val="00C35475"/>
    <w:rsid w:val="00C662C8"/>
    <w:rsid w:val="00C761D2"/>
    <w:rsid w:val="00C86EBE"/>
    <w:rsid w:val="00C900B9"/>
    <w:rsid w:val="00C96A37"/>
    <w:rsid w:val="00CA1450"/>
    <w:rsid w:val="00CA3912"/>
    <w:rsid w:val="00CA54FD"/>
    <w:rsid w:val="00CB2516"/>
    <w:rsid w:val="00CB5CEA"/>
    <w:rsid w:val="00CC5561"/>
    <w:rsid w:val="00D01BB3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B1802"/>
    <w:rsid w:val="00DB322D"/>
    <w:rsid w:val="00DD3318"/>
    <w:rsid w:val="00DD35DD"/>
    <w:rsid w:val="00DE0716"/>
    <w:rsid w:val="00E068E1"/>
    <w:rsid w:val="00E13D9F"/>
    <w:rsid w:val="00E20253"/>
    <w:rsid w:val="00E5243F"/>
    <w:rsid w:val="00E54CD6"/>
    <w:rsid w:val="00E561FA"/>
    <w:rsid w:val="00E75FF1"/>
    <w:rsid w:val="00EB0EEC"/>
    <w:rsid w:val="00EB2759"/>
    <w:rsid w:val="00EC1663"/>
    <w:rsid w:val="00EC3DC2"/>
    <w:rsid w:val="00EC46FA"/>
    <w:rsid w:val="00ED0CF0"/>
    <w:rsid w:val="00ED7175"/>
    <w:rsid w:val="00EF1E8F"/>
    <w:rsid w:val="00EF4CCE"/>
    <w:rsid w:val="00EF70C8"/>
    <w:rsid w:val="00F0409A"/>
    <w:rsid w:val="00F07BA9"/>
    <w:rsid w:val="00F106A2"/>
    <w:rsid w:val="00F15D3C"/>
    <w:rsid w:val="00F2059A"/>
    <w:rsid w:val="00F31ED0"/>
    <w:rsid w:val="00F327E9"/>
    <w:rsid w:val="00F34FAD"/>
    <w:rsid w:val="00F4302C"/>
    <w:rsid w:val="00F6012E"/>
    <w:rsid w:val="00F6771F"/>
    <w:rsid w:val="00F81693"/>
    <w:rsid w:val="00F85F57"/>
    <w:rsid w:val="00F8659E"/>
    <w:rsid w:val="00F90288"/>
    <w:rsid w:val="00FA0B23"/>
    <w:rsid w:val="00FA24D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01BB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EF70C8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6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762EB3-70ED-4767-BA2F-35205CDF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961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Janda Martin - OŘOP</cp:lastModifiedBy>
  <cp:revision>9</cp:revision>
  <dcterms:created xsi:type="dcterms:W3CDTF">2022-09-30T07:49:00Z</dcterms:created>
  <dcterms:modified xsi:type="dcterms:W3CDTF">2023-09-14T06:23:00Z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